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4DB5" w14:textId="5170CF35" w:rsidR="0099045E" w:rsidRPr="004B72B3" w:rsidRDefault="0099045E" w:rsidP="0099045E">
      <w:pPr>
        <w:jc w:val="center"/>
        <w:rPr>
          <w:rFonts w:ascii="Arial" w:hAnsi="Arial" w:cs="Arial"/>
          <w:b/>
          <w:bCs/>
        </w:rPr>
      </w:pPr>
      <w:r w:rsidRPr="004B72B3">
        <w:rPr>
          <w:rFonts w:ascii="Arial" w:hAnsi="Arial" w:cs="Arial"/>
          <w:b/>
          <w:bCs/>
        </w:rPr>
        <w:t>Little Cardinals Nest Payment Schedule and Policy 202</w:t>
      </w:r>
      <w:r>
        <w:rPr>
          <w:rFonts w:ascii="Arial" w:hAnsi="Arial" w:cs="Arial"/>
          <w:b/>
          <w:bCs/>
        </w:rPr>
        <w:t>6</w:t>
      </w:r>
      <w:r w:rsidRPr="004B72B3">
        <w:rPr>
          <w:rFonts w:ascii="Arial" w:hAnsi="Arial" w:cs="Arial"/>
          <w:b/>
          <w:bCs/>
        </w:rPr>
        <w:t>-2</w:t>
      </w:r>
      <w:r>
        <w:rPr>
          <w:rFonts w:ascii="Arial" w:hAnsi="Arial" w:cs="Arial"/>
          <w:b/>
          <w:bCs/>
        </w:rPr>
        <w:t>7</w:t>
      </w:r>
    </w:p>
    <w:p w14:paraId="72FDD19F" w14:textId="77777777" w:rsidR="0099045E" w:rsidRDefault="0099045E" w:rsidP="0099045E">
      <w:pPr>
        <w:rPr>
          <w:rFonts w:ascii="Arial" w:hAnsi="Arial" w:cs="Arial"/>
        </w:rPr>
      </w:pPr>
    </w:p>
    <w:p w14:paraId="0E5FBBCC" w14:textId="42CD99B4" w:rsidR="0099045E" w:rsidRDefault="0099045E" w:rsidP="0099045E">
      <w:pPr>
        <w:jc w:val="both"/>
        <w:rPr>
          <w:rFonts w:ascii="Arial" w:hAnsi="Arial" w:cs="Arial"/>
        </w:rPr>
      </w:pPr>
      <w:r w:rsidRPr="004B72B3">
        <w:rPr>
          <w:rFonts w:ascii="Arial" w:hAnsi="Arial" w:cs="Arial"/>
        </w:rPr>
        <w:t xml:space="preserve">Below </w:t>
      </w:r>
      <w:r>
        <w:rPr>
          <w:rFonts w:ascii="Arial" w:hAnsi="Arial" w:cs="Arial"/>
        </w:rPr>
        <w:t xml:space="preserve">are </w:t>
      </w:r>
      <w:r w:rsidRPr="004B72B3">
        <w:rPr>
          <w:rFonts w:ascii="Arial" w:hAnsi="Arial" w:cs="Arial"/>
        </w:rPr>
        <w:t xml:space="preserve">the monthly </w:t>
      </w:r>
      <w:r>
        <w:rPr>
          <w:rFonts w:ascii="Arial" w:hAnsi="Arial" w:cs="Arial"/>
        </w:rPr>
        <w:t>tuition due dates</w:t>
      </w:r>
      <w:r w:rsidRPr="004B72B3">
        <w:rPr>
          <w:rFonts w:ascii="Arial" w:hAnsi="Arial" w:cs="Arial"/>
        </w:rPr>
        <w:t xml:space="preserve"> for the 202</w:t>
      </w:r>
      <w:r w:rsidR="007F3127">
        <w:rPr>
          <w:rFonts w:ascii="Arial" w:hAnsi="Arial" w:cs="Arial"/>
        </w:rPr>
        <w:t>6</w:t>
      </w:r>
      <w:r w:rsidRPr="004B72B3">
        <w:rPr>
          <w:rFonts w:ascii="Arial" w:hAnsi="Arial" w:cs="Arial"/>
        </w:rPr>
        <w:t>-2</w:t>
      </w:r>
      <w:r w:rsidR="007F3127">
        <w:rPr>
          <w:rFonts w:ascii="Arial" w:hAnsi="Arial" w:cs="Arial"/>
        </w:rPr>
        <w:t>7</w:t>
      </w:r>
      <w:r w:rsidRPr="004B72B3">
        <w:rPr>
          <w:rFonts w:ascii="Arial" w:hAnsi="Arial" w:cs="Arial"/>
        </w:rPr>
        <w:t xml:space="preserve"> school year.  </w:t>
      </w:r>
    </w:p>
    <w:p w14:paraId="09B43E7B" w14:textId="77777777" w:rsidR="0099045E" w:rsidRDefault="0099045E" w:rsidP="0099045E">
      <w:pPr>
        <w:jc w:val="both"/>
        <w:rPr>
          <w:rFonts w:ascii="Arial" w:hAnsi="Arial" w:cs="Arial"/>
        </w:rPr>
      </w:pPr>
      <w:r w:rsidRPr="004B72B3">
        <w:rPr>
          <w:rFonts w:ascii="Arial" w:hAnsi="Arial" w:cs="Arial"/>
        </w:rPr>
        <w:t xml:space="preserve">There </w:t>
      </w:r>
      <w:proofErr w:type="gramStart"/>
      <w:r w:rsidRPr="004B72B3">
        <w:rPr>
          <w:rFonts w:ascii="Arial" w:hAnsi="Arial" w:cs="Arial"/>
        </w:rPr>
        <w:t>are</w:t>
      </w:r>
      <w:proofErr w:type="gramEnd"/>
      <w:r w:rsidRPr="004B72B3">
        <w:rPr>
          <w:rFonts w:ascii="Arial" w:hAnsi="Arial" w:cs="Arial"/>
        </w:rPr>
        <w:t xml:space="preserve"> a total of 10 equal payments for the school year and the </w:t>
      </w:r>
      <w:r>
        <w:rPr>
          <w:rFonts w:ascii="Arial" w:hAnsi="Arial" w:cs="Arial"/>
        </w:rPr>
        <w:t xml:space="preserve">monthly </w:t>
      </w:r>
      <w:r w:rsidRPr="004B72B3">
        <w:rPr>
          <w:rFonts w:ascii="Arial" w:hAnsi="Arial" w:cs="Arial"/>
        </w:rPr>
        <w:t xml:space="preserve">rate remains the same regardless of Planning Days, Teacher In-Service Days, </w:t>
      </w:r>
      <w:r>
        <w:rPr>
          <w:rFonts w:ascii="Arial" w:hAnsi="Arial" w:cs="Arial"/>
        </w:rPr>
        <w:t xml:space="preserve">Hurricane closure days, </w:t>
      </w:r>
      <w:r w:rsidRPr="004B72B3">
        <w:rPr>
          <w:rFonts w:ascii="Arial" w:hAnsi="Arial" w:cs="Arial"/>
        </w:rPr>
        <w:t>student holidays or shortened school weeks (for example, Labor Day, Spring Break,</w:t>
      </w:r>
      <w:r>
        <w:rPr>
          <w:rFonts w:ascii="Arial" w:hAnsi="Arial" w:cs="Arial"/>
        </w:rPr>
        <w:t xml:space="preserve"> Winter Break,</w:t>
      </w:r>
      <w:r w:rsidRPr="004B72B3">
        <w:rPr>
          <w:rFonts w:ascii="Arial" w:hAnsi="Arial" w:cs="Arial"/>
        </w:rPr>
        <w:t xml:space="preserve"> etc.). </w:t>
      </w:r>
    </w:p>
    <w:p w14:paraId="62CD9F17" w14:textId="77777777" w:rsidR="0099045E" w:rsidRPr="004B72B3" w:rsidRDefault="0099045E" w:rsidP="0099045E">
      <w:pPr>
        <w:jc w:val="both"/>
        <w:rPr>
          <w:rFonts w:ascii="Arial" w:hAnsi="Arial" w:cs="Arial"/>
        </w:rPr>
      </w:pPr>
      <w:r w:rsidRPr="004B72B3">
        <w:rPr>
          <w:rFonts w:ascii="Arial" w:hAnsi="Arial" w:cs="Arial"/>
        </w:rPr>
        <w:t xml:space="preserve">Tuition is </w:t>
      </w:r>
      <w:proofErr w:type="gramStart"/>
      <w:r w:rsidRPr="004B72B3">
        <w:rPr>
          <w:rFonts w:ascii="Arial" w:hAnsi="Arial" w:cs="Arial"/>
        </w:rPr>
        <w:t>due</w:t>
      </w:r>
      <w:proofErr w:type="gramEnd"/>
      <w:r w:rsidRPr="004B72B3">
        <w:rPr>
          <w:rFonts w:ascii="Arial" w:hAnsi="Arial" w:cs="Arial"/>
        </w:rPr>
        <w:t xml:space="preserve"> whether your child is in attendance or not and there is no reduction in tuition or make-up days for absences.  </w:t>
      </w:r>
    </w:p>
    <w:p w14:paraId="055D2E38" w14:textId="77777777" w:rsidR="0099045E" w:rsidRPr="007F3127" w:rsidRDefault="0099045E" w:rsidP="0099045E">
      <w:pPr>
        <w:jc w:val="both"/>
        <w:rPr>
          <w:rFonts w:ascii="Arial" w:hAnsi="Arial" w:cs="Arial"/>
        </w:rPr>
      </w:pPr>
      <w:r w:rsidRPr="007F3127">
        <w:rPr>
          <w:rFonts w:ascii="Arial" w:hAnsi="Arial" w:cs="Arial"/>
          <w:highlight w:val="yellow"/>
        </w:rPr>
        <w:t xml:space="preserve">We accept online payment, cash, check, money order and cashier’s check.  </w:t>
      </w:r>
      <w:r w:rsidRPr="00202A70">
        <w:rPr>
          <w:rFonts w:ascii="Arial" w:hAnsi="Arial" w:cs="Arial"/>
          <w:b/>
          <w:bCs/>
          <w:highlight w:val="yellow"/>
        </w:rPr>
        <w:t>All checks and money orders should be made payable to “CCE-LCN” and placed in the lock box in the classroom.</w:t>
      </w:r>
      <w:r w:rsidRPr="007F3127">
        <w:rPr>
          <w:rFonts w:ascii="Arial" w:hAnsi="Arial" w:cs="Arial"/>
          <w:highlight w:val="yellow"/>
        </w:rPr>
        <w:t xml:space="preserve">  </w:t>
      </w:r>
      <w:r w:rsidRPr="00202A70">
        <w:rPr>
          <w:rFonts w:ascii="Arial" w:hAnsi="Arial" w:cs="Arial"/>
          <w:highlight w:val="yellow"/>
        </w:rPr>
        <w:t>Please make sure your check has your CURRENT address and phone number (required by CCE’s bank).</w:t>
      </w:r>
      <w:r w:rsidRPr="007F3127">
        <w:rPr>
          <w:rFonts w:ascii="Arial" w:hAnsi="Arial" w:cs="Arial"/>
        </w:rPr>
        <w:t xml:space="preserve">    </w:t>
      </w:r>
    </w:p>
    <w:p w14:paraId="664AA3DD" w14:textId="22B43F0F" w:rsidR="0099045E" w:rsidRPr="00202A70" w:rsidRDefault="0099045E" w:rsidP="0099045E">
      <w:pPr>
        <w:jc w:val="both"/>
        <w:rPr>
          <w:rFonts w:ascii="Arial" w:hAnsi="Arial" w:cs="Arial"/>
          <w:b/>
          <w:bCs/>
          <w:highlight w:val="yellow"/>
        </w:rPr>
      </w:pPr>
      <w:r w:rsidRPr="007F3127">
        <w:rPr>
          <w:rFonts w:ascii="Arial" w:hAnsi="Arial" w:cs="Arial"/>
          <w:highlight w:val="yellow"/>
        </w:rPr>
        <w:t xml:space="preserve">You can pay online with a credit or debit card via SchoolPay.  SchoolPay charges a convenience fee; therefore, you must pay the full tuition amount due and the convenience fee will be added to the total.  </w:t>
      </w:r>
      <w:r w:rsidRPr="00202A70">
        <w:rPr>
          <w:rFonts w:ascii="Arial" w:hAnsi="Arial" w:cs="Arial"/>
          <w:b/>
          <w:bCs/>
          <w:highlight w:val="yellow"/>
        </w:rPr>
        <w:t xml:space="preserve">The LCN SchoolPay link is </w:t>
      </w:r>
      <w:hyperlink r:id="rId4" w:history="1">
        <w:r w:rsidR="00D67DC3" w:rsidRPr="00202A70">
          <w:rPr>
            <w:rStyle w:val="Hyperlink"/>
            <w:rFonts w:ascii="Arial" w:hAnsi="Arial" w:cs="Arial"/>
            <w:b/>
            <w:bCs/>
          </w:rPr>
          <w:t>https://www-ccs.stjohns.k12.fl.us/nest/</w:t>
        </w:r>
      </w:hyperlink>
      <w:r w:rsidRPr="00202A70">
        <w:rPr>
          <w:rFonts w:ascii="Arial" w:hAnsi="Arial" w:cs="Arial"/>
          <w:b/>
          <w:bCs/>
        </w:rPr>
        <w:t xml:space="preserve"> </w:t>
      </w:r>
      <w:r w:rsidRPr="00202A70">
        <w:rPr>
          <w:rFonts w:ascii="Arial" w:hAnsi="Arial" w:cs="Arial"/>
          <w:b/>
          <w:bCs/>
          <w:highlight w:val="yellow"/>
        </w:rPr>
        <w:t>(</w:t>
      </w:r>
      <w:proofErr w:type="gramStart"/>
      <w:r w:rsidRPr="00202A70">
        <w:rPr>
          <w:rFonts w:ascii="Arial" w:hAnsi="Arial" w:cs="Arial"/>
          <w:b/>
          <w:bCs/>
          <w:highlight w:val="yellow"/>
        </w:rPr>
        <w:t>available  August</w:t>
      </w:r>
      <w:proofErr w:type="gramEnd"/>
      <w:r w:rsidRPr="00202A70">
        <w:rPr>
          <w:rFonts w:ascii="Arial" w:hAnsi="Arial" w:cs="Arial"/>
          <w:b/>
          <w:bCs/>
          <w:highlight w:val="yellow"/>
        </w:rPr>
        <w:t xml:space="preserve"> through May).</w:t>
      </w:r>
      <w:r w:rsidRPr="00202A70">
        <w:rPr>
          <w:rFonts w:ascii="Arial" w:hAnsi="Arial" w:cs="Arial"/>
          <w:b/>
          <w:bCs/>
        </w:rPr>
        <w:t xml:space="preserve">  </w:t>
      </w:r>
    </w:p>
    <w:p w14:paraId="587D4B85" w14:textId="77777777" w:rsidR="0099045E" w:rsidRDefault="0099045E" w:rsidP="0099045E">
      <w:pPr>
        <w:jc w:val="both"/>
        <w:rPr>
          <w:rFonts w:ascii="Arial" w:hAnsi="Arial" w:cs="Arial"/>
        </w:rPr>
      </w:pPr>
      <w:r w:rsidRPr="00A275EB">
        <w:rPr>
          <w:rFonts w:ascii="Arial" w:hAnsi="Arial" w:cs="Arial"/>
        </w:rPr>
        <w:t xml:space="preserve">Payments made more than one day after the due date are considered late and a $30.00 late fee will be assessed.  There will be a charge of $1.00 per minute for </w:t>
      </w:r>
      <w:r>
        <w:rPr>
          <w:rFonts w:ascii="Arial" w:hAnsi="Arial" w:cs="Arial"/>
        </w:rPr>
        <w:t>the first late pickup of your child.  Additional late pickups will incur additional fees.  Please refer to the Parent Handbook for more information.</w:t>
      </w:r>
    </w:p>
    <w:p w14:paraId="59C71F48" w14:textId="77777777" w:rsidR="0099045E" w:rsidRPr="00A275EB" w:rsidRDefault="0099045E" w:rsidP="009904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your check does not clear CCE’s bank, you may incur fees from CCE’s collection agency.  In such </w:t>
      </w:r>
      <w:proofErr w:type="gramStart"/>
      <w:r>
        <w:rPr>
          <w:rFonts w:ascii="Arial" w:hAnsi="Arial" w:cs="Arial"/>
        </w:rPr>
        <w:t>case</w:t>
      </w:r>
      <w:proofErr w:type="gramEnd"/>
      <w:r>
        <w:rPr>
          <w:rFonts w:ascii="Arial" w:hAnsi="Arial" w:cs="Arial"/>
        </w:rPr>
        <w:t xml:space="preserve">, you will have to pay all future tuition online or with cash, money order or cashier’s check.  </w:t>
      </w:r>
    </w:p>
    <w:p w14:paraId="4707F18F" w14:textId="77777777" w:rsidR="0099045E" w:rsidRPr="004B72B3" w:rsidRDefault="0099045E" w:rsidP="0099045E">
      <w:pPr>
        <w:jc w:val="both"/>
        <w:rPr>
          <w:rFonts w:ascii="Arial" w:hAnsi="Arial" w:cs="Arial"/>
        </w:rPr>
      </w:pPr>
      <w:r w:rsidRPr="004B72B3">
        <w:rPr>
          <w:rFonts w:ascii="Arial" w:hAnsi="Arial" w:cs="Arial"/>
        </w:rPr>
        <w:t xml:space="preserve">LCN will be open from 7:30am-3:30pm for </w:t>
      </w:r>
      <w:r>
        <w:rPr>
          <w:rFonts w:ascii="Arial" w:hAnsi="Arial" w:cs="Arial"/>
        </w:rPr>
        <w:t>some t</w:t>
      </w:r>
      <w:r w:rsidRPr="004B72B3">
        <w:rPr>
          <w:rFonts w:ascii="Arial" w:hAnsi="Arial" w:cs="Arial"/>
        </w:rPr>
        <w:t xml:space="preserve">eacher </w:t>
      </w:r>
      <w:r>
        <w:rPr>
          <w:rFonts w:ascii="Arial" w:hAnsi="Arial" w:cs="Arial"/>
        </w:rPr>
        <w:t>p</w:t>
      </w:r>
      <w:r w:rsidRPr="004B72B3">
        <w:rPr>
          <w:rFonts w:ascii="Arial" w:hAnsi="Arial" w:cs="Arial"/>
        </w:rPr>
        <w:t xml:space="preserve">lanning </w:t>
      </w:r>
      <w:r>
        <w:rPr>
          <w:rFonts w:ascii="Arial" w:hAnsi="Arial" w:cs="Arial"/>
        </w:rPr>
        <w:t>d</w:t>
      </w:r>
      <w:r w:rsidRPr="004B72B3">
        <w:rPr>
          <w:rFonts w:ascii="Arial" w:hAnsi="Arial" w:cs="Arial"/>
        </w:rPr>
        <w:t>ays, subject to parent interest</w:t>
      </w:r>
      <w:r>
        <w:rPr>
          <w:rFonts w:ascii="Arial" w:hAnsi="Arial" w:cs="Arial"/>
        </w:rPr>
        <w:t xml:space="preserve"> and a minimum number of children registered in advance</w:t>
      </w:r>
      <w:r w:rsidRPr="004B72B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4B72B3">
        <w:rPr>
          <w:rFonts w:ascii="Arial" w:hAnsi="Arial" w:cs="Arial"/>
        </w:rPr>
        <w:t xml:space="preserve">The fee for </w:t>
      </w:r>
      <w:r>
        <w:rPr>
          <w:rFonts w:ascii="Arial" w:hAnsi="Arial" w:cs="Arial"/>
        </w:rPr>
        <w:t>Teacher P</w:t>
      </w:r>
      <w:r w:rsidRPr="004B72B3">
        <w:rPr>
          <w:rFonts w:ascii="Arial" w:hAnsi="Arial" w:cs="Arial"/>
        </w:rPr>
        <w:t xml:space="preserve">lanning </w:t>
      </w:r>
      <w:r>
        <w:rPr>
          <w:rFonts w:ascii="Arial" w:hAnsi="Arial" w:cs="Arial"/>
        </w:rPr>
        <w:t>D</w:t>
      </w:r>
      <w:r w:rsidRPr="004B72B3">
        <w:rPr>
          <w:rFonts w:ascii="Arial" w:hAnsi="Arial" w:cs="Arial"/>
        </w:rPr>
        <w:t>ays is $40 per child ($30 per child for SJCSD employees), with a $10 discount for siblings.</w:t>
      </w:r>
      <w:r>
        <w:rPr>
          <w:rFonts w:ascii="Arial" w:hAnsi="Arial" w:cs="Arial"/>
        </w:rPr>
        <w:t xml:space="preserve">  </w:t>
      </w:r>
      <w:r w:rsidRPr="004B72B3">
        <w:rPr>
          <w:rFonts w:ascii="Arial" w:hAnsi="Arial" w:cs="Arial"/>
        </w:rPr>
        <w:t xml:space="preserve">  </w:t>
      </w:r>
    </w:p>
    <w:p w14:paraId="16CAE414" w14:textId="77777777" w:rsidR="0099045E" w:rsidRDefault="0099045E" w:rsidP="0099045E">
      <w:pPr>
        <w:rPr>
          <w:rFonts w:ascii="Arial" w:hAnsi="Arial" w:cs="Arial"/>
          <w:b/>
          <w:bCs/>
        </w:rPr>
      </w:pPr>
    </w:p>
    <w:p w14:paraId="009C80AD" w14:textId="77777777" w:rsidR="0099045E" w:rsidRPr="004B72B3" w:rsidRDefault="0099045E" w:rsidP="0099045E">
      <w:pPr>
        <w:rPr>
          <w:rFonts w:ascii="Arial" w:hAnsi="Arial" w:cs="Arial"/>
          <w:b/>
          <w:bCs/>
        </w:rPr>
      </w:pPr>
      <w:r w:rsidRPr="004B72B3">
        <w:rPr>
          <w:rFonts w:ascii="Arial" w:hAnsi="Arial" w:cs="Arial"/>
          <w:b/>
          <w:bCs/>
        </w:rPr>
        <w:t xml:space="preserve">Monthly </w:t>
      </w:r>
      <w:r>
        <w:rPr>
          <w:rFonts w:ascii="Arial" w:hAnsi="Arial" w:cs="Arial"/>
          <w:b/>
          <w:bCs/>
        </w:rPr>
        <w:t xml:space="preserve">Tuition </w:t>
      </w:r>
      <w:r w:rsidRPr="004B72B3">
        <w:rPr>
          <w:rFonts w:ascii="Arial" w:hAnsi="Arial" w:cs="Arial"/>
          <w:b/>
          <w:bCs/>
        </w:rPr>
        <w:t>Payment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250"/>
      </w:tblGrid>
      <w:tr w:rsidR="0099045E" w14:paraId="0DF4F864" w14:textId="77777777" w:rsidTr="00F121F0">
        <w:trPr>
          <w:trHeight w:val="377"/>
        </w:trPr>
        <w:tc>
          <w:tcPr>
            <w:tcW w:w="1345" w:type="dxa"/>
          </w:tcPr>
          <w:p w14:paraId="0F01232D" w14:textId="77777777" w:rsidR="0099045E" w:rsidRPr="00AA5E88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A5E88">
              <w:rPr>
                <w:rFonts w:ascii="Arial" w:hAnsi="Arial" w:cs="Arial"/>
                <w:b/>
                <w:bCs/>
              </w:rPr>
              <w:t>Payment #</w:t>
            </w:r>
          </w:p>
        </w:tc>
        <w:tc>
          <w:tcPr>
            <w:tcW w:w="2250" w:type="dxa"/>
          </w:tcPr>
          <w:p w14:paraId="39AF1CE9" w14:textId="77777777" w:rsidR="0099045E" w:rsidRPr="00AA5E88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A5E88">
              <w:rPr>
                <w:rFonts w:ascii="Arial" w:hAnsi="Arial" w:cs="Arial"/>
                <w:b/>
                <w:bCs/>
              </w:rPr>
              <w:t>Due</w:t>
            </w:r>
          </w:p>
        </w:tc>
      </w:tr>
      <w:tr w:rsidR="0099045E" w14:paraId="5121105C" w14:textId="77777777" w:rsidTr="00F121F0">
        <w:tc>
          <w:tcPr>
            <w:tcW w:w="1345" w:type="dxa"/>
          </w:tcPr>
          <w:p w14:paraId="09E9D91E" w14:textId="77777777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50" w:type="dxa"/>
          </w:tcPr>
          <w:p w14:paraId="6B3AFDA2" w14:textId="1D8D82E8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8/1</w:t>
            </w:r>
            <w:r w:rsidR="00C953F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/202</w:t>
            </w:r>
            <w:r w:rsidR="00695E08">
              <w:rPr>
                <w:rFonts w:ascii="Arial" w:hAnsi="Arial" w:cs="Arial"/>
              </w:rPr>
              <w:t>6</w:t>
            </w:r>
          </w:p>
        </w:tc>
      </w:tr>
      <w:tr w:rsidR="0099045E" w14:paraId="29CF9641" w14:textId="77777777" w:rsidTr="00F121F0">
        <w:tc>
          <w:tcPr>
            <w:tcW w:w="1345" w:type="dxa"/>
          </w:tcPr>
          <w:p w14:paraId="7C7D7176" w14:textId="77777777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50" w:type="dxa"/>
          </w:tcPr>
          <w:p w14:paraId="7376A61D" w14:textId="1461251D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9/0</w:t>
            </w:r>
            <w:r w:rsidR="006B53D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/20</w:t>
            </w:r>
            <w:r w:rsidR="00695E08">
              <w:rPr>
                <w:rFonts w:ascii="Arial" w:hAnsi="Arial" w:cs="Arial"/>
              </w:rPr>
              <w:t>26</w:t>
            </w:r>
          </w:p>
        </w:tc>
      </w:tr>
      <w:tr w:rsidR="0099045E" w14:paraId="43F7A293" w14:textId="77777777" w:rsidTr="00F121F0">
        <w:tc>
          <w:tcPr>
            <w:tcW w:w="1345" w:type="dxa"/>
          </w:tcPr>
          <w:p w14:paraId="1BC40EDC" w14:textId="77777777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50" w:type="dxa"/>
          </w:tcPr>
          <w:p w14:paraId="4B7AE031" w14:textId="12CAA873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10/01/202</w:t>
            </w:r>
            <w:r w:rsidR="00695E08">
              <w:rPr>
                <w:rFonts w:ascii="Arial" w:hAnsi="Arial" w:cs="Arial"/>
              </w:rPr>
              <w:t>6</w:t>
            </w:r>
          </w:p>
        </w:tc>
      </w:tr>
      <w:tr w:rsidR="0099045E" w14:paraId="375601A1" w14:textId="77777777" w:rsidTr="00F121F0">
        <w:tc>
          <w:tcPr>
            <w:tcW w:w="1345" w:type="dxa"/>
          </w:tcPr>
          <w:p w14:paraId="0E24B507" w14:textId="77777777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50" w:type="dxa"/>
          </w:tcPr>
          <w:p w14:paraId="314175EE" w14:textId="1CE6F22D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</w:t>
            </w:r>
            <w:r w:rsidR="00695E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/202</w:t>
            </w:r>
            <w:r w:rsidR="00695E08">
              <w:rPr>
                <w:rFonts w:ascii="Arial" w:hAnsi="Arial" w:cs="Arial"/>
              </w:rPr>
              <w:t>6</w:t>
            </w:r>
          </w:p>
        </w:tc>
      </w:tr>
      <w:tr w:rsidR="0099045E" w14:paraId="77DB242A" w14:textId="77777777" w:rsidTr="00F121F0">
        <w:tc>
          <w:tcPr>
            <w:tcW w:w="1345" w:type="dxa"/>
          </w:tcPr>
          <w:p w14:paraId="798952FA" w14:textId="77777777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50" w:type="dxa"/>
          </w:tcPr>
          <w:p w14:paraId="24414AB1" w14:textId="273E5E01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12/01/202</w:t>
            </w:r>
            <w:r w:rsidR="00A77206">
              <w:rPr>
                <w:rFonts w:ascii="Arial" w:hAnsi="Arial" w:cs="Arial"/>
              </w:rPr>
              <w:t>6</w:t>
            </w:r>
          </w:p>
        </w:tc>
      </w:tr>
      <w:tr w:rsidR="0099045E" w14:paraId="059614F1" w14:textId="77777777" w:rsidTr="00F121F0">
        <w:tc>
          <w:tcPr>
            <w:tcW w:w="1345" w:type="dxa"/>
          </w:tcPr>
          <w:p w14:paraId="2D07647B" w14:textId="77777777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50" w:type="dxa"/>
          </w:tcPr>
          <w:p w14:paraId="0FA69B07" w14:textId="57FE84D7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01/05/202</w:t>
            </w:r>
            <w:r w:rsidR="007A7065">
              <w:rPr>
                <w:rFonts w:ascii="Arial" w:hAnsi="Arial" w:cs="Arial"/>
              </w:rPr>
              <w:t>7</w:t>
            </w:r>
          </w:p>
        </w:tc>
      </w:tr>
      <w:tr w:rsidR="0099045E" w14:paraId="4F832EB7" w14:textId="77777777" w:rsidTr="00F121F0">
        <w:tc>
          <w:tcPr>
            <w:tcW w:w="1345" w:type="dxa"/>
          </w:tcPr>
          <w:p w14:paraId="69AE1A45" w14:textId="77777777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50" w:type="dxa"/>
          </w:tcPr>
          <w:p w14:paraId="5732B629" w14:textId="399A7001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</w:t>
            </w:r>
            <w:r w:rsidR="00112F7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/202</w:t>
            </w:r>
            <w:r w:rsidR="007A7065">
              <w:rPr>
                <w:rFonts w:ascii="Arial" w:hAnsi="Arial" w:cs="Arial"/>
              </w:rPr>
              <w:t>7</w:t>
            </w:r>
          </w:p>
        </w:tc>
      </w:tr>
      <w:tr w:rsidR="0099045E" w14:paraId="68AEDC02" w14:textId="77777777" w:rsidTr="00F121F0">
        <w:tc>
          <w:tcPr>
            <w:tcW w:w="1345" w:type="dxa"/>
          </w:tcPr>
          <w:p w14:paraId="76A40AED" w14:textId="77777777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50" w:type="dxa"/>
          </w:tcPr>
          <w:p w14:paraId="0E442E3F" w14:textId="2994C586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</w:t>
            </w:r>
            <w:r w:rsidR="00112F7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/202</w:t>
            </w:r>
            <w:r w:rsidR="007A7065">
              <w:rPr>
                <w:rFonts w:ascii="Arial" w:hAnsi="Arial" w:cs="Arial"/>
              </w:rPr>
              <w:t>7</w:t>
            </w:r>
          </w:p>
        </w:tc>
      </w:tr>
      <w:tr w:rsidR="0099045E" w14:paraId="1B660BE1" w14:textId="77777777" w:rsidTr="00F121F0">
        <w:tc>
          <w:tcPr>
            <w:tcW w:w="1345" w:type="dxa"/>
          </w:tcPr>
          <w:p w14:paraId="173B309D" w14:textId="77777777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50" w:type="dxa"/>
          </w:tcPr>
          <w:p w14:paraId="54C4C27D" w14:textId="13E098D4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04/01/202</w:t>
            </w:r>
            <w:r w:rsidR="007A7065">
              <w:rPr>
                <w:rFonts w:ascii="Arial" w:hAnsi="Arial" w:cs="Arial"/>
              </w:rPr>
              <w:t>7</w:t>
            </w:r>
          </w:p>
        </w:tc>
      </w:tr>
      <w:tr w:rsidR="0099045E" w14:paraId="186B6EBA" w14:textId="77777777" w:rsidTr="00F121F0">
        <w:tc>
          <w:tcPr>
            <w:tcW w:w="1345" w:type="dxa"/>
          </w:tcPr>
          <w:p w14:paraId="34E281BE" w14:textId="77777777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50" w:type="dxa"/>
          </w:tcPr>
          <w:p w14:paraId="7098290B" w14:textId="6764866B" w:rsidR="0099045E" w:rsidRDefault="0099045E" w:rsidP="00F121F0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05/01/202</w:t>
            </w:r>
            <w:r w:rsidR="007A7065">
              <w:rPr>
                <w:rFonts w:ascii="Arial" w:hAnsi="Arial" w:cs="Arial"/>
              </w:rPr>
              <w:t>7</w:t>
            </w:r>
          </w:p>
        </w:tc>
      </w:tr>
    </w:tbl>
    <w:p w14:paraId="77481708" w14:textId="77777777" w:rsidR="00EE10F6" w:rsidRDefault="00EE10F6" w:rsidP="00056043"/>
    <w:sectPr w:rsidR="00EE1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5E"/>
    <w:rsid w:val="00056043"/>
    <w:rsid w:val="00112F7D"/>
    <w:rsid w:val="00202A70"/>
    <w:rsid w:val="0039187D"/>
    <w:rsid w:val="00695E08"/>
    <w:rsid w:val="006B53D4"/>
    <w:rsid w:val="007A7065"/>
    <w:rsid w:val="007F3127"/>
    <w:rsid w:val="008C294C"/>
    <w:rsid w:val="00966FFA"/>
    <w:rsid w:val="00977515"/>
    <w:rsid w:val="0099045E"/>
    <w:rsid w:val="00A77206"/>
    <w:rsid w:val="00A93159"/>
    <w:rsid w:val="00AA39F0"/>
    <w:rsid w:val="00C953F0"/>
    <w:rsid w:val="00D67DC3"/>
    <w:rsid w:val="00E62A8F"/>
    <w:rsid w:val="00E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4722"/>
  <w15:chartTrackingRefBased/>
  <w15:docId w15:val="{DAB7D648-1929-4BC8-9073-F787E03B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5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4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4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4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4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4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4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4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4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4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0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4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0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45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0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45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0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4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04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04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-ccs.stjohns.k12.fl.us/n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1716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Thompson</dc:creator>
  <cp:keywords/>
  <dc:description/>
  <cp:lastModifiedBy>Rebecca Thompson</cp:lastModifiedBy>
  <cp:revision>4</cp:revision>
  <cp:lastPrinted>2026-01-08T18:28:00Z</cp:lastPrinted>
  <dcterms:created xsi:type="dcterms:W3CDTF">2026-01-08T16:56:00Z</dcterms:created>
  <dcterms:modified xsi:type="dcterms:W3CDTF">2026-01-08T18:28:00Z</dcterms:modified>
</cp:coreProperties>
</file>